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heme="majorEastAsia" w:hAnsiTheme="majorEastAsia" w:eastAsiaTheme="majorEastAsia" w:cstheme="majorEastAsia"/>
          <w:b/>
          <w:bCs/>
          <w:sz w:val="32"/>
          <w:szCs w:val="32"/>
        </w:rPr>
      </w:pPr>
      <w:r>
        <w:rPr>
          <w:rFonts w:hint="default" w:asciiTheme="majorEastAsia" w:hAnsiTheme="majorEastAsia" w:eastAsiaTheme="majorEastAsia" w:cstheme="majorEastAsia"/>
          <w:b/>
          <w:bCs/>
          <w:sz w:val="32"/>
          <w:szCs w:val="32"/>
        </w:rPr>
        <w:t>基础课部直属支部</w:t>
      </w:r>
      <w:r>
        <w:rPr>
          <w:rFonts w:hint="default" w:asciiTheme="majorEastAsia" w:hAnsiTheme="majorEastAsia" w:eastAsiaTheme="majorEastAsia" w:cstheme="majorEastAsia"/>
          <w:b/>
          <w:bCs/>
          <w:sz w:val="32"/>
          <w:szCs w:val="32"/>
        </w:rPr>
        <w:t>理论学习中心组</w:t>
      </w:r>
      <w:r>
        <w:rPr>
          <w:rFonts w:hint="eastAsia" w:asciiTheme="majorEastAsia" w:hAnsiTheme="majorEastAsia" w:eastAsiaTheme="majorEastAsia" w:cstheme="majorEastAsia"/>
          <w:b/>
          <w:bCs/>
          <w:sz w:val="32"/>
          <w:szCs w:val="32"/>
        </w:rPr>
        <w:t>2020年度</w:t>
      </w:r>
      <w:bookmarkStart w:id="0" w:name="_GoBack"/>
      <w:bookmarkEnd w:id="0"/>
      <w:r>
        <w:rPr>
          <w:rFonts w:hint="eastAsia" w:asciiTheme="majorEastAsia" w:hAnsiTheme="majorEastAsia" w:eastAsiaTheme="majorEastAsia" w:cstheme="majorEastAsia"/>
          <w:b/>
          <w:bCs/>
          <w:sz w:val="32"/>
          <w:szCs w:val="32"/>
        </w:rPr>
        <w:t>学习计划</w:t>
      </w:r>
    </w:p>
    <w:p/>
    <w:p>
      <w:pPr>
        <w:adjustRightInd w:val="0"/>
        <w:snapToGrid w:val="0"/>
        <w:spacing w:line="540" w:lineRule="exact"/>
        <w:ind w:firstLine="480" w:firstLineChars="200"/>
        <w:rPr>
          <w:rFonts w:hint="default" w:ascii="仿宋" w:hAnsi="仿宋" w:eastAsia="仿宋" w:cs="Times New Roman"/>
          <w:sz w:val="24"/>
          <w:szCs w:val="24"/>
        </w:rPr>
      </w:pPr>
      <w:r>
        <w:rPr>
          <w:rFonts w:hint="eastAsia" w:ascii="仿宋" w:hAnsi="仿宋" w:eastAsia="仿宋" w:cs="Times New Roman"/>
          <w:sz w:val="24"/>
          <w:szCs w:val="24"/>
        </w:rPr>
        <w:t>为深入贯彻落实习近平总书记关于意识形态工作的重要论述，贯彻</w:t>
      </w:r>
      <w:r>
        <w:rPr>
          <w:rFonts w:hint="default" w:ascii="仿宋" w:hAnsi="仿宋" w:eastAsia="仿宋" w:cs="Times New Roman"/>
          <w:sz w:val="24"/>
          <w:szCs w:val="24"/>
        </w:rPr>
        <w:t>学习党党十九大精神，</w:t>
      </w:r>
      <w:r>
        <w:rPr>
          <w:rFonts w:hint="eastAsia" w:ascii="仿宋" w:hAnsi="仿宋" w:eastAsia="仿宋" w:cs="Times New Roman"/>
          <w:sz w:val="24"/>
          <w:szCs w:val="24"/>
        </w:rPr>
        <w:t>进一步明</w:t>
      </w:r>
      <w:r>
        <w:rPr>
          <w:rFonts w:hint="default" w:ascii="仿宋" w:hAnsi="仿宋" w:eastAsia="仿宋" w:cs="Times New Roman"/>
          <w:sz w:val="24"/>
          <w:szCs w:val="24"/>
        </w:rPr>
        <w:t>加强和改进意识形态工作，明确支部班子、行政干部党意识形态工作责任，</w:t>
      </w:r>
      <w:r>
        <w:rPr>
          <w:rFonts w:hint="eastAsia" w:ascii="仿宋" w:hAnsi="仿宋" w:eastAsia="仿宋" w:cs="Times New Roman"/>
          <w:sz w:val="24"/>
          <w:szCs w:val="24"/>
        </w:rPr>
        <w:t>确保意识形态工作责任制落实到位，</w:t>
      </w:r>
      <w:r>
        <w:rPr>
          <w:rFonts w:hint="default" w:ascii="仿宋" w:hAnsi="仿宋" w:eastAsia="仿宋" w:cs="Times New Roman"/>
          <w:sz w:val="24"/>
          <w:szCs w:val="24"/>
        </w:rPr>
        <w:t>根据学校党委相关文件精神要求，结合我部工作实际，特制定2020年度意识形态工作计划。</w:t>
      </w:r>
    </w:p>
    <w:p>
      <w:pPr>
        <w:numPr>
          <w:ilvl w:val="0"/>
          <w:numId w:val="1"/>
        </w:numPr>
        <w:adjustRightInd w:val="0"/>
        <w:snapToGrid w:val="0"/>
        <w:spacing w:line="540" w:lineRule="exact"/>
        <w:ind w:firstLine="480" w:firstLineChars="200"/>
        <w:rPr>
          <w:rFonts w:hint="default" w:ascii="仿宋" w:hAnsi="仿宋" w:eastAsia="仿宋" w:cs="Times New Roman"/>
          <w:sz w:val="24"/>
          <w:szCs w:val="24"/>
        </w:rPr>
      </w:pPr>
      <w:r>
        <w:rPr>
          <w:rFonts w:hint="default" w:ascii="仿宋" w:hAnsi="仿宋" w:eastAsia="仿宋" w:cs="Times New Roman"/>
          <w:sz w:val="24"/>
          <w:szCs w:val="24"/>
        </w:rPr>
        <w:t>总体要求</w:t>
      </w:r>
    </w:p>
    <w:p>
      <w:pPr>
        <w:numPr>
          <w:ilvl w:val="0"/>
          <w:numId w:val="0"/>
        </w:numPr>
        <w:adjustRightInd w:val="0"/>
        <w:snapToGrid w:val="0"/>
        <w:spacing w:line="540" w:lineRule="exact"/>
        <w:ind w:firstLine="360" w:firstLineChars="150"/>
        <w:rPr>
          <w:rFonts w:hint="default" w:ascii="仿宋" w:hAnsi="仿宋" w:eastAsia="仿宋" w:cs="Times New Roman"/>
          <w:sz w:val="24"/>
          <w:szCs w:val="24"/>
        </w:rPr>
      </w:pPr>
      <w:r>
        <w:rPr>
          <w:rFonts w:hint="default" w:ascii="仿宋" w:hAnsi="仿宋" w:eastAsia="仿宋" w:cs="Times New Roman"/>
          <w:sz w:val="24"/>
          <w:szCs w:val="24"/>
        </w:rPr>
        <w:t>意识形态工作是党的一项极为重要的工作，关于旗帜、关乎道路、关乎国家政治安全，我部党支部抓意识形态工作，必须高举中国特色社会主义伟大旗帜，坚持以习近平新时代中国特色社会主义思想为指导，认真落实意识形态工作责任制，以培育和践行社会主义核心价值观为核心，切实加强意识形态领域管理和引导，进一步强化理论武装、正面宣传、文明创建和队伍建设，唱响主旋律，弘扬正能量，为我部工作稳步发展提供有力的思想保证、精神动力、舆论支持和文化支撑。</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二、学习形式</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1.个人自学。党委理论学习中心组成员应当根据理论学习中心组学习计划及形势任务要求，结合工作需要和本人实际，明确学习重点，研读必要书目，下功夫刻苦学习。</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集体学习研讨。党委理论学习中心组学习将集体学习研讨作为学习的主要形式，坚持重点发言和集体研讨、专题学习和系统学习相结合，深入开展学习讨论和互动交流。理论学习中心组成员本学年可根据文件要求，自行选择专题结合工作实际作重点学习发言。</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3.专题调研。党委理论学习中心组成员应把理论学习与专题调研结合起来，深入教育教学一线、深入师生员工，扎实开展调查研究，深化理论学习，以理论指导实践。</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党委理论学习中心组成员应积极参加学习讲坛、读书会、报告会等学习活动，充分利用“学习强国”等网络学习平台开展学习，拓宽学习渠道，提升学习效果。</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三、专题设置</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本年度主要围绕以下十三个主题进行学习。</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关于习近平新时代中国特色社会主义思想基本精神、基本内容、基本要求的专题学习。学好用好《习近平谈治国理政》（第一、二、三卷）、《习近平新时代中国特色社会主义思想学习纲要》和《习近平新时代中国特色社会主义思想学习问答》辅助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更好引领学校事业发展。</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关于马克思主义经典的专题学习。深刻认识马克思主义是科学的理论、人民的理论、实践的理论、不断发展的开放的理论，深刻揭示了自然界、人类社会、人类思维发展的普遍规律，为人类社会发展进步指明了方向；深刻认识马克思主义是我们立党立国的根本指导思想，必须始终坚持马克思主义在意识形态领域指导地位的根本制度；深刻认识马克思主义是共产党人的必修课，在深入学习经典原著中体悟马克思主义真理力量，坚定马克思主义信仰，始终把马克思主义哲学作为看家本领。通过深入学习，努力提高运用科学思想方法和工作方法解决实际问题的能力和水平。</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3.关于坚持和完善中国特色社会主义制度、推进国家治理体系和治理能力现代化的专题学习。全面准确学习习近平总书记在党的十九届四中全会上的重要讲话精神和全会通过的决定，深刻认识中国特色社会主义制度和国家治理体系的科学内涵、本质特征和显著优势，深刻把握坚持和完善中国特色社会主义制度、推进国家治理体系和治理能力现代化的总体要求、总体目标和重点任务，深刻理解党的领导是坚持和完善中国特色社会主义制度、推进国家治理体系和治理能力现代化的根本保证，不断强化制度意识，维护制度权威，做制度执行的表率。通过深入学习，思考如何把全校师生的思想和行动统一到讲话精神和全会决策部署上来，不折不扣抓好党中央决策部署贯彻落实。</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4.关于贯彻新发展理念、服务经济发展的专题学习。结合学习贯彻中央经济工作会议精神，学习领会《国家职业教育改革实施方案》精神，深刻认识新时代抓发展必须更加突出发展理念，坚定不移贯彻创新、协调、绿色、开放、共享的新发展理念，推动高质量发展；深刻认识我国经济稳中向好、长期向好的基本趋势没有改变，面对国内外风险挑战明显上升的复杂局面，坚持稳字当头，增强必胜信心，集中精力办好自己的事；深刻认识坚持党对经济工作的集中统一领导是中国特色社会主义制度的一大优势，切实把党领导经济工作的制度优势转化为治理效能，保持经济持续健康发展，维护社会大局稳定。通过深入学习，思考如何结合国家发展战略、“一带一路”建设，紧紧围绕连云港市“高质发展、后发先至”主题主线，在服务我市临港石化产业、新医药新能源新材料产业、全域旅游战略等地方发展战略需求上对接到位，积极推进产教深度融合协同育人，服务高素质技术技能人才培养、服务地方产业和企业发展，为地方经济发展提供人才支撑和智力保障。</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5.关于脱贫攻坚、全面小康的专题学习。深刻认识脱贫攻坚体现了我们党以人民为中心的根本立场，打赢脱贫攻坚战谱写了人类反贫困历史的新篇章，标志着困扰中华民族几千年的绝对贫困问题即将历史性地得到解决；深刻认识全面建成小康社会是我们党向人民、向历史作出的庄严承诺，标志着我们向全面建成社会主义现代化强国迈出了至关重要的一步；深刻理解脱贫攻坚是全面小康的底线任务和标志性指标，务必咬定目标、一鼓作气，坚决攻克深度贫困堡垒，巩固拓展脱贫攻坚成果，建立解决相对贫困的长效机制，确保高质量打赢脱贫攻坚战、高水平全面建成小康社会。通过深入学习，充分认识高校参与精准扶贫既是政治任务，也是历史使命，更是拓展社会服务职能、提升办学影响力的重要方式，深入思考如何在“尊重”的基础上，广泛协调“联动”，携手“共进”，提升整体发展水平带动脱贫攻坚，坚决打赢脱贫攻坚战。</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6.关于意识形态工作的专题学习。深刻认识意识形态工作规律，全面准确把握当前高校意识形态领域态势，坚持以立为本、立破并举，大力弘扬社会主义核心价值观，使全校师生在理想信念、价值理念、道德观念上紧紧团结在一起；发扬斗争精神，加强意识形态阵地管理，注意区分政治原则问题、思想认识问题、学术观点问题，旗帜鲜明反对和抵制各种错误观点；深入贯彻落实新修订的《党委（党组）意识形态工作责任制实施办法》和省《实施细则》、市《若干规定》，压紧压实学校党委和党总支（直属党支部）的主体责任，增强意识形态领域主导权和话语权，切实维护意识形态安全。</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7.关于百年未有之大变局的专题学习。深刻认识当今世界正处于大发展大变革大调整时期，长期以来西方主导的国际政治经济格局正在发生深刻改变，发展中国家和新兴经济体整体崛起，特别是中国特色社会主义展现出旺盛生机活力，国际力量对比正在发生显著变化，胸怀中华民族伟大复兴的战略全局和世界百年未有之大变局这“两个大局”，以此作为谋划工作的基本出发点；深刻认识百年未有之大变局带来的机遇和挑战，认清斗争的长期性、复杂性、尖锐性，既要增强忧患意识、防范风险挑战，又要担当作为、敢于斗争，更好应对变局、服务大局、开创新局。</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8.关于党史、新中国史、改革开放史和社会主义发展史的专题学习。深入了解我们党领导人民进行艰苦卓绝的斗争历程，了解党的光荣传统、宝贵经验和伟大成就，深刻认识和把握共产党执政规律、社会主义建设规律和人类社会发展规律，始终铭记我们从哪里来、往哪里去，传承红色基因，鲜明政治本色，对党保持忠诚，恪守人民情怀。通过深入学习，树立历史思维，培养历史眼光，增强历史担当，做到知史爱党、知史爱国，做到常怀忧党之心、为党之责、强党之志，更加自觉地为实现新时代党的历史使命不懈奋斗。</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9.关于党的十九届五中全会精神的专题学习。原原本本、全面准确学习领会习近平总书记在党的十九届五中全会上的重要讲话精神，认真研读党的十九届五中全会文件，深刻理解党的十九届五中全会提出的一系列重大理论观点、重大工作部署，认真落实中央精神和省市委要求。通过深入学习，自觉把思想和行动统一到讲话精神和全会决策部署上来。</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10.关于公共卫生应急管理体系的专题学习。深入学习《中华人民共和国突发事件应对法》《突发公共卫生事件应急条例》《国家突发公共卫生事件应急预案》等法律法规，深刻认识健康是促进人的全面发展的必然要求，是经济社会发展的基础条件，是民族昌盛和国家富强的重要标志，也是广大人民群众的共同追求。通过深入学习，思考如何发挥发挥高校健康科普教育堡垒作用，配合地方和有关部门全方位多角度向公众提供权威科普知识；如何进一步加强高校突发公共卫生应急管理体制建设，提高师生应对突发重大公共卫生事件的能力和水平。</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11.关于安全生产的专题学习。深刻认识抓好安全生产工作是共产党人初心使命的集中体现，是防控重大风险的政治责任，是中国特色社会主义制度优越性的必然要求；深刻认识抓好安全生产工作要坚持安全发展理念和红线意识，坚持全面落实安全生产责任，坚持预防为主关口前移，坚持最严格的安全生产制度，坚持极端负责的精神，增强责任感和紧迫感，切实担起做好安全生产、防范化解重大安全风险的政治责任。通过深入学习，按照“党政同责、一岗双责”和“三个必须”要求，将师生安全放在首位，以高度的责任心和强烈的使命感，严格落实学校安全工作责任，认真履行安全防范职责，守土有责、守土担责、守土尽责。</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12.关于省委十三届七次全会和市委十二届九次全会精神的专题学习。认真学习省委十三届七次全会和市委十二届九次全会文件，深刻领会省委全会各项决策部署和市委全会明确的从八个方面推进“高质发展、后发先至”决战决胜部署要求，积极推进治理体系和治理能力现代化，为实现“高质发展、后发先至”提供坚强有力的制度保障；深刻理解新发展理念，坚持稳中求进，深化改革开放，坚决打赢“三大攻坚战”，全面做好“六稳”工作；深入贯彻新时代党的建设总要求，全面加强党的领导，坚定正确政治航向，打造忠诚干净担当的高素质干部队伍，锤炼务实担当、克难奋进的优良作风，扎实构建风清气正的政治生态。通过深入学习，思考如何引导学校党员、干部、师生进一步解放思想、提升标杆、主动作为、争先创优，以实实在在的工作成效，推动实现学校“强起来”的美好愿景。</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13.关于持续深入解放思想的专题学习。深入学习贯彻习近平总书记对江苏、连云港工作重要讲话指示精神，聚焦习近平总书记强调的重点问题、赋予的重大课题，带着“九个有没有”“六个为什么”“七个不”的问题意识定期组织开展学习讨论，进一步对标新思想，解放思想、统一思想，着力解决思想上的误区、偏差，破除与时代要求不符的思维定势和路径依赖，把解放思想大讨论不断引向深入。</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四、学习篇目和课程</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1.《习近平新时代中国特色社会主义思想学习纲要》（学习出版社）；</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2.《习近平谈治国理政》第一、二卷（外文出版社），第三卷（即将出版）；</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3.《习近平新时代中国特色社会主义思想学习问答》（即将出版）；</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4.《辩证唯物主义是中国共产党人的世界观和方法论》（习近平，《求是》2019年第1期）；</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5.《学习马克思主义基本理论是共产党人的必修课》（习近平，《求是》2019年第22期）；</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 xml:space="preserve">6.《坚持历史唯物主义不断开辟当代中国马克思主义发展新境界》（习近平，《求是》2020年第2期）； </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7.《&lt;中共中央关于坚持和完善中国特色社会主义制度、推进国家治理体系和治理能力现代化若干重大问题的决定&gt;辅导读本》（人民出版社）；</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8.《坚持和完善中国特色社会主义制度推进国家治理体系和治理能力现代化》（习近平，《求是》2020年第1期）；</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9.《习近平总书记在中央经济工作会议上的重要讲话》（2019年12月）；</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 xml:space="preserve">10.《深入理解新发展理念》（习近平，《求是》2019年第10期）； </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 xml:space="preserve">11.《在解决“两不愁三保障”突出问题座谈会上的讲话》（习近平，《求是》2019年第16期）； </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12.习近平总书记在中央政治局第十九次集体学习时的重要讲话（2019年11月29日）；</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13.习近平总书记在党的十九届五中全会上的重要讲话；</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14.习近平总书记在全国高校思想政治工作会议上的重要讲话；</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15.习近平总书记在全国教育大会上的重要讲话；</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16.习近平总书记在全国宣传思想工作会议的重要讲话；</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17.国务院发布的《国家职业教育改革实施方案》；</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18.《中国制度面对面》（即将出版）；</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19.《中国制度十五讲》（即将出版）；</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20.娄勤俭同志在中国共产党江苏省第十三届委员会第七次全体会议上的讲话（2019年12月）；</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21.项雪龙同志在中国共产党连云港市第十二届委员会第九次全体会议上的讲话（2019年12月）；</w:t>
      </w:r>
    </w:p>
    <w:p>
      <w:pPr>
        <w:adjustRightInd w:val="0"/>
        <w:snapToGrid w:val="0"/>
        <w:spacing w:line="5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22.连云港职业技术学院第二次党代会报告（2017年10月）。</w:t>
      </w:r>
    </w:p>
    <w:p>
      <w:pPr>
        <w:adjustRightInd w:val="0"/>
        <w:snapToGrid w:val="0"/>
        <w:spacing w:line="540" w:lineRule="exact"/>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23.习近平</w:t>
      </w:r>
      <w:r>
        <w:rPr>
          <w:rFonts w:hint="default" w:ascii="仿宋" w:hAnsi="仿宋" w:eastAsia="仿宋" w:cs="Times New Roman"/>
          <w:sz w:val="24"/>
          <w:szCs w:val="24"/>
          <w:lang w:eastAsia="zh-CN"/>
        </w:rPr>
        <w:t>总书记</w:t>
      </w:r>
      <w:r>
        <w:rPr>
          <w:rFonts w:hint="eastAsia" w:ascii="仿宋" w:hAnsi="仿宋" w:eastAsia="仿宋" w:cs="Times New Roman"/>
          <w:sz w:val="24"/>
          <w:szCs w:val="24"/>
          <w:lang w:val="en-US" w:eastAsia="zh-CN"/>
        </w:rPr>
        <w:t>关于体育工作系列重要讲话精神</w:t>
      </w:r>
      <w:r>
        <w:rPr>
          <w:rFonts w:hint="eastAsia" w:ascii="仿宋" w:hAnsi="仿宋" w:eastAsia="仿宋" w:cs="Times New Roman"/>
          <w:sz w:val="24"/>
          <w:szCs w:val="24"/>
        </w:rPr>
        <w:t>（2017年</w:t>
      </w:r>
      <w:r>
        <w:rPr>
          <w:rFonts w:hint="eastAsia" w:ascii="仿宋" w:hAnsi="仿宋" w:eastAsia="仿宋" w:cs="Times New Roman"/>
          <w:sz w:val="24"/>
          <w:szCs w:val="24"/>
          <w:lang w:val="en-US" w:eastAsia="zh-CN"/>
        </w:rPr>
        <w:t>7</w:t>
      </w:r>
      <w:r>
        <w:rPr>
          <w:rFonts w:hint="eastAsia" w:ascii="仿宋" w:hAnsi="仿宋" w:eastAsia="仿宋" w:cs="Times New Roman"/>
          <w:sz w:val="24"/>
          <w:szCs w:val="24"/>
        </w:rPr>
        <w:t>月</w:t>
      </w:r>
      <w:r>
        <w:rPr>
          <w:rFonts w:hint="eastAsia" w:ascii="仿宋" w:hAnsi="仿宋" w:eastAsia="仿宋" w:cs="Times New Roman"/>
          <w:sz w:val="24"/>
          <w:szCs w:val="24"/>
          <w:lang w:val="en-US" w:eastAsia="zh-CN"/>
        </w:rPr>
        <w:t>).</w:t>
      </w:r>
    </w:p>
    <w:p>
      <w:pPr>
        <w:adjustRightInd w:val="0"/>
        <w:snapToGrid w:val="0"/>
        <w:spacing w:line="540" w:lineRule="exact"/>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24.</w:t>
      </w:r>
      <w:r>
        <w:rPr>
          <w:rFonts w:hint="eastAsia" w:ascii="仿宋" w:hAnsi="仿宋" w:eastAsia="仿宋" w:cs="Times New Roman"/>
          <w:sz w:val="24"/>
          <w:szCs w:val="24"/>
          <w:lang w:val="en-US" w:eastAsia="zh-CN"/>
        </w:rPr>
        <w:tab/>
      </w:r>
      <w:r>
        <w:rPr>
          <w:rFonts w:hint="eastAsia" w:ascii="仿宋" w:hAnsi="仿宋" w:eastAsia="仿宋" w:cs="Times New Roman"/>
          <w:sz w:val="24"/>
          <w:szCs w:val="24"/>
          <w:lang w:val="en-US" w:eastAsia="zh-CN"/>
        </w:rPr>
        <w:t>习近平</w:t>
      </w:r>
      <w:r>
        <w:rPr>
          <w:rFonts w:hint="default" w:ascii="仿宋" w:hAnsi="仿宋" w:eastAsia="仿宋" w:cs="Times New Roman"/>
          <w:sz w:val="24"/>
          <w:szCs w:val="24"/>
          <w:lang w:eastAsia="zh-CN"/>
        </w:rPr>
        <w:t>总书记关于全面加强</w:t>
      </w:r>
      <w:r>
        <w:rPr>
          <w:rFonts w:hint="eastAsia" w:ascii="仿宋" w:hAnsi="仿宋" w:eastAsia="仿宋" w:cs="Times New Roman"/>
          <w:sz w:val="24"/>
          <w:szCs w:val="24"/>
          <w:lang w:val="en-US" w:eastAsia="zh-CN"/>
        </w:rPr>
        <w:t>师德师风</w:t>
      </w:r>
      <w:r>
        <w:rPr>
          <w:rFonts w:hint="default" w:ascii="仿宋" w:hAnsi="仿宋" w:eastAsia="仿宋" w:cs="Times New Roman"/>
          <w:sz w:val="24"/>
          <w:szCs w:val="24"/>
          <w:lang w:eastAsia="zh-CN"/>
        </w:rPr>
        <w:t>建设的重要论述</w:t>
      </w:r>
      <w:r>
        <w:rPr>
          <w:rFonts w:hint="eastAsia" w:ascii="仿宋" w:hAnsi="仿宋" w:eastAsia="仿宋" w:cs="Times New Roman"/>
          <w:sz w:val="24"/>
          <w:szCs w:val="24"/>
        </w:rPr>
        <w:t>（201</w:t>
      </w:r>
      <w:r>
        <w:rPr>
          <w:rFonts w:hint="default" w:ascii="仿宋" w:hAnsi="仿宋" w:eastAsia="仿宋" w:cs="Times New Roman"/>
          <w:sz w:val="24"/>
          <w:szCs w:val="24"/>
        </w:rPr>
        <w:t>9</w:t>
      </w:r>
      <w:r>
        <w:rPr>
          <w:rFonts w:hint="eastAsia" w:ascii="仿宋" w:hAnsi="仿宋" w:eastAsia="仿宋" w:cs="Times New Roman"/>
          <w:sz w:val="24"/>
          <w:szCs w:val="24"/>
        </w:rPr>
        <w:t>年</w:t>
      </w:r>
      <w:r>
        <w:rPr>
          <w:rFonts w:hint="default" w:ascii="仿宋" w:hAnsi="仿宋" w:eastAsia="仿宋" w:cs="Times New Roman"/>
          <w:sz w:val="24"/>
          <w:szCs w:val="24"/>
        </w:rPr>
        <w:t>9</w:t>
      </w:r>
      <w:r>
        <w:rPr>
          <w:rFonts w:hint="eastAsia" w:ascii="仿宋" w:hAnsi="仿宋" w:eastAsia="仿宋" w:cs="Times New Roman"/>
          <w:sz w:val="24"/>
          <w:szCs w:val="24"/>
        </w:rPr>
        <w:t>月</w:t>
      </w:r>
      <w:r>
        <w:rPr>
          <w:rFonts w:hint="eastAsia" w:ascii="仿宋" w:hAnsi="仿宋" w:eastAsia="仿宋" w:cs="Times New Roman"/>
          <w:sz w:val="24"/>
          <w:szCs w:val="24"/>
          <w:lang w:val="en-US" w:eastAsia="zh-CN"/>
        </w:rPr>
        <w:t>).</w:t>
      </w:r>
    </w:p>
    <w:p>
      <w:pPr>
        <w:adjustRightInd w:val="0"/>
        <w:snapToGrid w:val="0"/>
        <w:spacing w:line="540" w:lineRule="exact"/>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25.</w:t>
      </w:r>
      <w:r>
        <w:rPr>
          <w:rFonts w:hint="default" w:ascii="仿宋" w:hAnsi="仿宋" w:eastAsia="仿宋" w:cs="Times New Roman"/>
          <w:sz w:val="24"/>
          <w:szCs w:val="24"/>
          <w:lang w:eastAsia="zh-CN"/>
        </w:rPr>
        <w:t>习近平总书记关于</w:t>
      </w:r>
      <w:r>
        <w:rPr>
          <w:rFonts w:hint="eastAsia" w:ascii="仿宋" w:hAnsi="仿宋" w:eastAsia="仿宋" w:cs="Times New Roman"/>
          <w:sz w:val="24"/>
          <w:szCs w:val="24"/>
          <w:lang w:val="en-US" w:eastAsia="zh-CN"/>
        </w:rPr>
        <w:t>党风廉政</w:t>
      </w:r>
      <w:r>
        <w:rPr>
          <w:rFonts w:hint="default" w:ascii="仿宋" w:hAnsi="仿宋" w:eastAsia="仿宋" w:cs="Times New Roman"/>
          <w:sz w:val="24"/>
          <w:szCs w:val="24"/>
          <w:lang w:eastAsia="zh-CN"/>
        </w:rPr>
        <w:t>和反腐败斗争论述摘编</w:t>
      </w:r>
      <w:r>
        <w:rPr>
          <w:rFonts w:hint="eastAsia" w:ascii="仿宋" w:hAnsi="仿宋" w:eastAsia="仿宋" w:cs="Times New Roman"/>
          <w:sz w:val="24"/>
          <w:szCs w:val="24"/>
        </w:rPr>
        <w:t>（201</w:t>
      </w:r>
      <w:r>
        <w:rPr>
          <w:rFonts w:hint="default" w:ascii="仿宋" w:hAnsi="仿宋" w:eastAsia="仿宋" w:cs="Times New Roman"/>
          <w:sz w:val="24"/>
          <w:szCs w:val="24"/>
        </w:rPr>
        <w:t>6</w:t>
      </w:r>
      <w:r>
        <w:rPr>
          <w:rFonts w:hint="eastAsia" w:ascii="仿宋" w:hAnsi="仿宋" w:eastAsia="仿宋" w:cs="Times New Roman"/>
          <w:sz w:val="24"/>
          <w:szCs w:val="24"/>
        </w:rPr>
        <w:t>年</w:t>
      </w:r>
      <w:r>
        <w:rPr>
          <w:rFonts w:hint="default" w:ascii="仿宋" w:hAnsi="仿宋" w:eastAsia="仿宋" w:cs="Times New Roman"/>
          <w:sz w:val="24"/>
          <w:szCs w:val="24"/>
        </w:rPr>
        <w:t>5</w:t>
      </w:r>
      <w:r>
        <w:rPr>
          <w:rFonts w:hint="eastAsia" w:ascii="仿宋" w:hAnsi="仿宋" w:eastAsia="仿宋" w:cs="Times New Roman"/>
          <w:sz w:val="24"/>
          <w:szCs w:val="24"/>
        </w:rPr>
        <w:t>月</w:t>
      </w:r>
      <w:r>
        <w:rPr>
          <w:rFonts w:hint="eastAsia" w:ascii="仿宋" w:hAnsi="仿宋" w:eastAsia="仿宋" w:cs="Times New Roman"/>
          <w:sz w:val="24"/>
          <w:szCs w:val="24"/>
          <w:lang w:val="en-US" w:eastAsia="zh-CN"/>
        </w:rPr>
        <w:t>)</w:t>
      </w:r>
      <w:r>
        <w:rPr>
          <w:rFonts w:hint="default" w:ascii="仿宋" w:hAnsi="仿宋" w:eastAsia="仿宋" w:cs="Times New Roman"/>
          <w:sz w:val="24"/>
          <w:szCs w:val="24"/>
          <w:lang w:eastAsia="zh-CN"/>
        </w:rPr>
        <w:t>.</w:t>
      </w:r>
    </w:p>
    <w:p>
      <w:pPr>
        <w:adjustRightInd w:val="0"/>
        <w:snapToGrid w:val="0"/>
        <w:spacing w:line="540" w:lineRule="exact"/>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26.</w:t>
      </w:r>
      <w:r>
        <w:rPr>
          <w:rFonts w:hint="default" w:ascii="仿宋" w:hAnsi="仿宋" w:eastAsia="仿宋" w:cs="Times New Roman"/>
          <w:sz w:val="24"/>
          <w:szCs w:val="24"/>
          <w:lang w:eastAsia="zh-CN"/>
        </w:rPr>
        <w:t>习近平总书记</w:t>
      </w:r>
      <w:r>
        <w:rPr>
          <w:rFonts w:hint="eastAsia" w:ascii="仿宋" w:hAnsi="仿宋" w:eastAsia="仿宋" w:cs="Times New Roman"/>
          <w:sz w:val="24"/>
          <w:szCs w:val="24"/>
          <w:lang w:val="en-US" w:eastAsia="zh-CN"/>
        </w:rPr>
        <w:t>关于</w:t>
      </w:r>
      <w:r>
        <w:rPr>
          <w:rFonts w:hint="default" w:ascii="仿宋" w:hAnsi="仿宋" w:eastAsia="仿宋" w:cs="Times New Roman"/>
          <w:sz w:val="24"/>
          <w:szCs w:val="24"/>
          <w:lang w:eastAsia="zh-CN"/>
        </w:rPr>
        <w:t>教育的重要论述</w:t>
      </w:r>
      <w:r>
        <w:rPr>
          <w:rFonts w:hint="eastAsia" w:ascii="仿宋" w:hAnsi="仿宋" w:eastAsia="仿宋" w:cs="Times New Roman"/>
          <w:sz w:val="24"/>
          <w:szCs w:val="24"/>
        </w:rPr>
        <w:t>（201</w:t>
      </w:r>
      <w:r>
        <w:rPr>
          <w:rFonts w:hint="default" w:ascii="仿宋" w:hAnsi="仿宋" w:eastAsia="仿宋" w:cs="Times New Roman"/>
          <w:sz w:val="24"/>
          <w:szCs w:val="24"/>
        </w:rPr>
        <w:t>9</w:t>
      </w:r>
      <w:r>
        <w:rPr>
          <w:rFonts w:hint="eastAsia" w:ascii="仿宋" w:hAnsi="仿宋" w:eastAsia="仿宋" w:cs="Times New Roman"/>
          <w:sz w:val="24"/>
          <w:szCs w:val="24"/>
        </w:rPr>
        <w:t>年</w:t>
      </w:r>
      <w:r>
        <w:rPr>
          <w:rFonts w:hint="default" w:ascii="仿宋" w:hAnsi="仿宋" w:eastAsia="仿宋" w:cs="Times New Roman"/>
          <w:sz w:val="24"/>
          <w:szCs w:val="24"/>
        </w:rPr>
        <w:t>6</w:t>
      </w:r>
      <w:r>
        <w:rPr>
          <w:rFonts w:hint="eastAsia" w:ascii="仿宋" w:hAnsi="仿宋" w:eastAsia="仿宋" w:cs="Times New Roman"/>
          <w:sz w:val="24"/>
          <w:szCs w:val="24"/>
        </w:rPr>
        <w:t>月</w:t>
      </w:r>
      <w:r>
        <w:rPr>
          <w:rFonts w:hint="eastAsia" w:ascii="仿宋" w:hAnsi="仿宋" w:eastAsia="仿宋" w:cs="Times New Roman"/>
          <w:sz w:val="24"/>
          <w:szCs w:val="24"/>
          <w:lang w:val="en-US" w:eastAsia="zh-CN"/>
        </w:rPr>
        <w:t>)</w:t>
      </w:r>
      <w:r>
        <w:rPr>
          <w:rFonts w:hint="default" w:ascii="仿宋" w:hAnsi="仿宋" w:eastAsia="仿宋" w:cs="Times New Roman"/>
          <w:sz w:val="24"/>
          <w:szCs w:val="24"/>
          <w:lang w:eastAsia="zh-CN"/>
        </w:rPr>
        <w:t>。</w:t>
      </w:r>
    </w:p>
    <w:p>
      <w:pPr>
        <w:adjustRightInd w:val="0"/>
        <w:snapToGrid w:val="0"/>
        <w:spacing w:line="540" w:lineRule="exact"/>
        <w:rPr>
          <w:rFonts w:hint="eastAsia" w:ascii="仿宋" w:hAnsi="仿宋" w:eastAsia="仿宋" w:cs="Times New Roman"/>
          <w:sz w:val="24"/>
          <w:szCs w:val="24"/>
        </w:rPr>
      </w:pPr>
    </w:p>
    <w:p>
      <w:pPr>
        <w:adjustRightInd w:val="0"/>
        <w:snapToGrid w:val="0"/>
        <w:spacing w:line="540" w:lineRule="exact"/>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                                        基础课部直属支部</w:t>
      </w:r>
    </w:p>
    <w:p>
      <w:pPr>
        <w:adjustRightInd w:val="0"/>
        <w:snapToGrid w:val="0"/>
        <w:spacing w:line="540" w:lineRule="exact"/>
        <w:ind w:firstLine="5400" w:firstLineChars="2250"/>
        <w:rPr>
          <w:rFonts w:hint="eastAsia" w:ascii="仿宋" w:hAnsi="仿宋" w:eastAsia="仿宋" w:cs="Times New Roman"/>
          <w:sz w:val="24"/>
          <w:szCs w:val="24"/>
          <w:lang w:eastAsia="zh-CN"/>
        </w:rPr>
      </w:pPr>
      <w:r>
        <w:rPr>
          <w:rFonts w:hint="default" w:ascii="仿宋" w:hAnsi="仿宋" w:eastAsia="仿宋" w:cs="Times New Roman"/>
          <w:sz w:val="24"/>
          <w:szCs w:val="24"/>
          <w:lang w:eastAsia="zh-CN"/>
        </w:rPr>
        <w:t>2020年5月6日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804030504040204"/>
    <w:charset w:val="00"/>
    <w:family w:val="swiss"/>
    <w:pitch w:val="default"/>
    <w:sig w:usb0="E1002AFF" w:usb1="C000605B" w:usb2="00000029" w:usb3="00000000" w:csb0="200101FF" w:csb1="20280000"/>
  </w:font>
  <w:font w:name="微软雅黑">
    <w:altName w:val="汉仪旗黑KW"/>
    <w:panose1 w:val="020B0503020204020204"/>
    <w:charset w:val="86"/>
    <w:family w:val="swiss"/>
    <w:pitch w:val="default"/>
    <w:sig w:usb0="00000000" w:usb1="00000000" w:usb2="00000016" w:usb3="00000000" w:csb0="0004001F" w:csb1="0000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103EF"/>
    <w:multiLevelType w:val="singleLevel"/>
    <w:tmpl w:val="5EB103E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9BC85C2"/>
    <w:rsid w:val="02EC3C7C"/>
    <w:rsid w:val="3FEDC110"/>
    <w:rsid w:val="470F423B"/>
    <w:rsid w:val="64684326"/>
    <w:rsid w:val="6DD87674"/>
    <w:rsid w:val="72421407"/>
    <w:rsid w:val="773F1713"/>
    <w:rsid w:val="77BF4479"/>
    <w:rsid w:val="89BC8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Office_1.2.1.1575_F1E327BC-269C-435d-A152-05C5408002CA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2020-05-06T13:52:00Z</dcterms:created>
  <dc:creator>guandi</dc:creator>
  <cp:lastModifiedBy>guandi</cp:lastModifiedBy>
  <dcterms:modified xsi:type="dcterms:W3CDTF">2020-05-07T08:23:42Z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2052-1.2.1.1575</vt:lpwstr>
  </property>
</Properties>
</file>